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10" w:rsidRDefault="00441010" w:rsidP="0044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..................................Kórház</w:t>
      </w:r>
    </w:p>
    <w:p w:rsidR="00441010" w:rsidRDefault="00441010" w:rsidP="0044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Újszülött Osztály</w:t>
      </w:r>
    </w:p>
    <w:p w:rsidR="00441010" w:rsidRDefault="00441010" w:rsidP="0044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1010" w:rsidRDefault="00441010" w:rsidP="0044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1010" w:rsidRDefault="00441010" w:rsidP="0044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1010" w:rsidRDefault="00441010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>Alulìrott</w:t>
      </w:r>
      <w:proofErr w:type="spellEnd"/>
      <w:proofErr w:type="gramStart"/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</w:t>
      </w:r>
      <w:proofErr w:type="spellStart"/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proofErr w:type="spellEnd"/>
      <w:proofErr w:type="gramEnd"/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>., an: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</w:t>
      </w:r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</w:t>
      </w:r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>m alatti lakos</w:t>
      </w:r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anya)</w:t>
      </w:r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...........................</w:t>
      </w:r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</w:t>
      </w:r>
      <w:proofErr w:type="spellStart"/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proofErr w:type="spellEnd"/>
      <w:proofErr w:type="gramEnd"/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>., an: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</w:t>
      </w:r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</w:t>
      </w:r>
      <w:r w:rsidRPr="00441010">
        <w:rPr>
          <w:rFonts w:ascii="Times New Roman" w:eastAsia="Times New Roman" w:hAnsi="Times New Roman" w:cs="Times New Roman"/>
          <w:sz w:val="24"/>
          <w:szCs w:val="24"/>
          <w:lang w:eastAsia="hu-HU"/>
        </w:rPr>
        <w:t>m alatti lakos</w:t>
      </w:r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apa)(anya és apa együttesen törvényes képviselők)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orvosi vélemény alapján várhatóan 2023......... napján születendő 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gyermekünk törvényes képviselői a következő írásbeli tájékoztatást </w:t>
      </w:r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felhívást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adjuk! </w:t>
      </w:r>
    </w:p>
    <w:p w:rsidR="00441010" w:rsidRDefault="00441010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1010" w:rsidRDefault="00441010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Születendő gyermekünk BCG oltásának kórházukban, születése utáni napokban történő oltásához nem járulunk hozzá, annak oltását a </w:t>
      </w:r>
      <w:r w:rsidRPr="004410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18/1998. (VI.3) NM rendelet</w:t>
      </w:r>
      <w:r w:rsidR="007B12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(továbbiakban: rendelet)</w:t>
      </w:r>
      <w:r w:rsidRPr="004410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5. §. (2) bekezdés </w:t>
      </w:r>
      <w:proofErr w:type="gramStart"/>
      <w:r w:rsidRPr="004410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a.</w:t>
      </w:r>
      <w:proofErr w:type="gramEnd"/>
      <w:r w:rsidRPr="004410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pontja alapján biztosított születés követő 4 héten belül kívánjuk biztosítani</w:t>
      </w:r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41010" w:rsidRDefault="00441010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22F0" w:rsidRDefault="00441010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Felhívjuk, hogy az anya </w:t>
      </w:r>
      <w:r w:rsidR="001622F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szülése előtt</w:t>
      </w:r>
      <w:proofErr w:type="gramStart"/>
      <w:r w:rsidR="001622F0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után</w:t>
      </w:r>
      <w:proofErr w:type="gramEnd"/>
      <w:r w:rsidR="00162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kórházban töltött, kiszolgáltatott helyzetében esetlegesen aláírt, Önök által sablonszerű iratokban lévő ellenkező nyilatkozatot tekintsék semmisnek</w:t>
      </w:r>
      <w:r w:rsidR="00162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lehetőség szerint azt előre töröljék sablonjaikból! </w:t>
      </w:r>
    </w:p>
    <w:p w:rsidR="001622F0" w:rsidRDefault="001622F0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22F0" w:rsidRDefault="001622F0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Családunkban több autóimmun megbetegedés fordult elő. A</w:t>
      </w:r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OEK módszertani levele </w:t>
      </w:r>
      <w:proofErr w:type="gramStart"/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BCG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oltás ellenjavallata a veleszületett </w:t>
      </w:r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immundefektus gyanúja!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Álláspontunk szerint a </w:t>
      </w:r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családba előforduló immun megbetegedések egyértelműen valószínűsítik a veleszületett immundefektust, azaz oltási ellenjavallatot, azonban az vitathatatlan tény,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 után</w:t>
      </w:r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napokban </w:t>
      </w:r>
      <w:proofErr w:type="gramStart"/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betegség meglétét, vagy hiányát kétséget </w:t>
      </w:r>
      <w:r w:rsidR="008F41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kizáróan megállapítani </w:t>
      </w:r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lehet,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ezért</w:t>
      </w:r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gyermekünk születése utáni napokban történő BCG oltása, álláspontunk szerint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orvosi hanyagság lenne</w:t>
      </w:r>
      <w:r w:rsidR="008F41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 oltás utáni eseményekért az oltóorvos büntetőjogi felelősséget vállal. </w:t>
      </w:r>
    </w:p>
    <w:p w:rsidR="001622F0" w:rsidRDefault="001622F0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1010" w:rsidRDefault="001622F0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Születendő gyermekünk BCG oltását a megfelelő szűrővizsgálatok után</w:t>
      </w:r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>immundeffektus</w:t>
      </w:r>
      <w:proofErr w:type="spellEnd"/>
      <w:r w:rsidR="00BA1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kizárása után 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jogszabály által biztosított 4 hetes határidőn belül kívánjuk biztosítani. </w:t>
      </w:r>
    </w:p>
    <w:p w:rsidR="001622F0" w:rsidRDefault="001622F0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39D4" w:rsidRDefault="005F39D4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Tájékoztatásul közöljük: </w:t>
      </w:r>
    </w:p>
    <w:p w:rsidR="005F39D4" w:rsidRDefault="005F39D4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12F0" w:rsidRPr="00455B6C" w:rsidRDefault="007B12F0" w:rsidP="007B12F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Az egészségügyről szóló 1997. évi CLIV. tv. (továbbiakban: </w:t>
      </w:r>
      <w:proofErr w:type="spellStart"/>
      <w:r w:rsidRPr="00455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Eütv</w:t>
      </w:r>
      <w:proofErr w:type="spellEnd"/>
      <w:r w:rsidRPr="00455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)</w:t>
      </w:r>
      <w:r w:rsidRPr="00455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57. §. (2) bekezdés alapján „a</w:t>
      </w:r>
      <w:r w:rsidRPr="00455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miniszter rendeletben határozza meg azokat a fertőző betegségeket, amelyek esetében </w:t>
      </w:r>
      <w:proofErr w:type="gramStart"/>
      <w:r w:rsidRPr="00455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proofErr w:type="gramEnd"/>
      <w:r w:rsidRPr="00455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életkorhoz kötötten kötelező védőoltás elrendelésének van helye.</w:t>
      </w:r>
    </w:p>
    <w:p w:rsidR="007B12F0" w:rsidRPr="00455B6C" w:rsidRDefault="007B12F0" w:rsidP="007B12F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5B6C">
        <w:rPr>
          <w:rFonts w:ascii="Times New Roman" w:hAnsi="Times New Roman" w:cs="Times New Roman"/>
          <w:color w:val="000000" w:themeColor="text1"/>
          <w:sz w:val="24"/>
          <w:szCs w:val="24"/>
        </w:rPr>
        <w:t>Eütv</w:t>
      </w:r>
      <w:proofErr w:type="spellEnd"/>
      <w:r w:rsidRPr="00455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58. §. (6) bekezdése szerint a védőoltás módjáról, céljáról, helyéről és </w:t>
      </w:r>
      <w:r w:rsidRPr="00455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idejéről a védőoltásra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55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kötelezett személyt, illetve törvényes képviselőjét értesíteni kell</w:t>
      </w:r>
      <w:r w:rsidRPr="00455B6C">
        <w:rPr>
          <w:rFonts w:ascii="Times New Roman" w:hAnsi="Times New Roman" w:cs="Times New Roman"/>
          <w:color w:val="000000" w:themeColor="text1"/>
          <w:sz w:val="24"/>
          <w:szCs w:val="24"/>
        </w:rPr>
        <w:t>. A védőoltásra kötelezett kiskorú személy megjelenéséről a törvényes képviselő köteles gondoskodni.</w:t>
      </w:r>
    </w:p>
    <w:p w:rsidR="007B12F0" w:rsidRPr="009F3248" w:rsidRDefault="007B12F0" w:rsidP="007B12F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(7) Ha a védőoltás igénybevételére köteles személy e </w:t>
      </w:r>
      <w:r w:rsidRPr="00455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kötelezettségének írásbeli felszólításra sem tesz eleget, az egészségügyi államigazgatási szerv a védőoltást elrendeli</w:t>
      </w:r>
      <w:r w:rsidRPr="00455B6C">
        <w:rPr>
          <w:rFonts w:ascii="Times New Roman" w:hAnsi="Times New Roman" w:cs="Times New Roman"/>
          <w:color w:val="000000" w:themeColor="text1"/>
          <w:sz w:val="24"/>
          <w:szCs w:val="24"/>
        </w:rPr>
        <w:t>. Az egészségügyi államigazgatási</w:t>
      </w: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szerv közvetlen járványveszély fennállása esetén - a veszélyhelyzet szerint meghatározott védőoltások köre tekintetében - a határozatot azonnal végrehajthatóvá nyilváníthatja.</w:t>
      </w:r>
    </w:p>
    <w:p w:rsidR="007B12F0" w:rsidRPr="000F48BF" w:rsidRDefault="007B12F0" w:rsidP="007B12F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6FF">
        <w:rPr>
          <w:rFonts w:ascii="Times New Roman" w:hAnsi="Times New Roman" w:cs="Times New Roman"/>
          <w:color w:val="000000"/>
          <w:sz w:val="24"/>
          <w:szCs w:val="24"/>
        </w:rPr>
        <w:t xml:space="preserve">A végrehajtásra vonatkozóan az </w:t>
      </w:r>
      <w:proofErr w:type="spellStart"/>
      <w:r w:rsidRPr="00A546FF">
        <w:rPr>
          <w:rFonts w:ascii="Times New Roman" w:hAnsi="Times New Roman" w:cs="Times New Roman"/>
          <w:color w:val="000000"/>
          <w:sz w:val="24"/>
          <w:szCs w:val="24"/>
        </w:rPr>
        <w:t>Ákr</w:t>
      </w:r>
      <w:proofErr w:type="spellEnd"/>
      <w:r w:rsidRPr="00A546FF">
        <w:rPr>
          <w:rFonts w:ascii="Times New Roman" w:hAnsi="Times New Roman" w:cs="Times New Roman"/>
          <w:color w:val="000000"/>
          <w:sz w:val="24"/>
          <w:szCs w:val="24"/>
        </w:rPr>
        <w:t>. 132. §</w:t>
      </w:r>
      <w:proofErr w:type="spellStart"/>
      <w:r w:rsidRPr="00A546F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A546F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Pr="00A546FF">
        <w:rPr>
          <w:rFonts w:ascii="Times New Roman" w:hAnsi="Times New Roman" w:cs="Times New Roman"/>
          <w:color w:val="000000"/>
          <w:sz w:val="24"/>
          <w:szCs w:val="24"/>
        </w:rPr>
        <w:t xml:space="preserve"> irányadó, mely szerint </w:t>
      </w:r>
      <w:r w:rsidRPr="000F4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 a kötelezett a hatóság végleges döntésében foglalt kötelezésnek nem tett eleget, az végrehajtható. </w:t>
      </w:r>
    </w:p>
    <w:p w:rsidR="007B12F0" w:rsidRPr="00A546FF" w:rsidRDefault="007B12F0" w:rsidP="007B12F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6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Az </w:t>
      </w:r>
      <w:proofErr w:type="spellStart"/>
      <w:r w:rsidRPr="00A546FF">
        <w:rPr>
          <w:rFonts w:ascii="Times New Roman" w:hAnsi="Times New Roman" w:cs="Times New Roman"/>
          <w:color w:val="000000"/>
          <w:sz w:val="24"/>
          <w:szCs w:val="24"/>
        </w:rPr>
        <w:t>Ákr</w:t>
      </w:r>
      <w:proofErr w:type="spellEnd"/>
      <w:r w:rsidRPr="00A546FF">
        <w:rPr>
          <w:rFonts w:ascii="Times New Roman" w:hAnsi="Times New Roman" w:cs="Times New Roman"/>
          <w:color w:val="000000"/>
          <w:sz w:val="24"/>
          <w:szCs w:val="24"/>
        </w:rPr>
        <w:t xml:space="preserve">. 133. § (1) bekezdése értelmében </w:t>
      </w:r>
      <w:r w:rsidRPr="000F48BF">
        <w:rPr>
          <w:rFonts w:ascii="Times New Roman" w:hAnsi="Times New Roman" w:cs="Times New Roman"/>
          <w:b/>
          <w:color w:val="000000"/>
          <w:sz w:val="24"/>
          <w:szCs w:val="24"/>
        </w:rPr>
        <w:t>a végrehajtást</w:t>
      </w:r>
      <w:r w:rsidRPr="00A546FF">
        <w:rPr>
          <w:rFonts w:ascii="Times New Roman" w:hAnsi="Times New Roman" w:cs="Times New Roman"/>
          <w:color w:val="000000"/>
          <w:sz w:val="24"/>
          <w:szCs w:val="24"/>
        </w:rPr>
        <w:t xml:space="preserve"> főszabály szerint a </w:t>
      </w:r>
      <w:r w:rsidRPr="000F48BF">
        <w:rPr>
          <w:rFonts w:ascii="Times New Roman" w:hAnsi="Times New Roman" w:cs="Times New Roman"/>
          <w:b/>
          <w:color w:val="000000"/>
          <w:sz w:val="24"/>
          <w:szCs w:val="24"/>
        </w:rPr>
        <w:t>döntést hozó hatóság rendeli el</w:t>
      </w:r>
      <w:r w:rsidRPr="00A546FF">
        <w:rPr>
          <w:rFonts w:ascii="Times New Roman" w:hAnsi="Times New Roman" w:cs="Times New Roman"/>
          <w:color w:val="000000"/>
          <w:sz w:val="24"/>
          <w:szCs w:val="24"/>
        </w:rPr>
        <w:t xml:space="preserve">, a 134. § (1) bekezdése értelmében pedig azt </w:t>
      </w:r>
      <w:r w:rsidRPr="001F2070">
        <w:rPr>
          <w:rFonts w:ascii="Times New Roman" w:hAnsi="Times New Roman" w:cs="Times New Roman"/>
          <w:b/>
          <w:color w:val="000000"/>
          <w:sz w:val="24"/>
          <w:szCs w:val="24"/>
        </w:rPr>
        <w:t>az állami adóhatóság foganatosítja.</w:t>
      </w:r>
    </w:p>
    <w:p w:rsidR="007B12F0" w:rsidRPr="000F48BF" w:rsidRDefault="007B12F0" w:rsidP="007B12F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46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Az adóhatóság által foganatosítandó végrehajtási eljárásokról </w:t>
      </w:r>
      <w:r w:rsidRPr="00A546FF">
        <w:rPr>
          <w:rFonts w:ascii="Times New Roman" w:hAnsi="Times New Roman" w:cs="Times New Roman"/>
          <w:color w:val="000000"/>
          <w:sz w:val="24"/>
          <w:szCs w:val="24"/>
        </w:rPr>
        <w:t xml:space="preserve">szóló 2017. évi CLIII. törvény 122. §. (1) bekezdése a következőképpen rendelkezik: </w:t>
      </w:r>
      <w:r w:rsidRPr="00A546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„Ha a döntés meghatározott cselekmény elvégzésére vagy meghatározott magatartásra, tűrésre, abbahagyásra (a továbbiakban: meghatározott cselekményre) irányul, és az adós a meghatározott cselekményt önként nem teljesítette, a </w:t>
      </w:r>
      <w:r w:rsidRPr="000F48BF">
        <w:rPr>
          <w:rFonts w:ascii="Times New Roman" w:hAnsi="Times New Roman" w:cs="Times New Roman"/>
          <w:b/>
          <w:iCs/>
          <w:color w:val="000000"/>
          <w:sz w:val="24"/>
          <w:szCs w:val="24"/>
        </w:rPr>
        <w:t>behajtást kérő hatóság a végrehajtás érdekében megkeresi az állami adó- és vámhatóságot.”</w:t>
      </w:r>
    </w:p>
    <w:p w:rsidR="00BA723C" w:rsidRPr="004717C1" w:rsidRDefault="00BA723C" w:rsidP="00BA723C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614">
        <w:rPr>
          <w:rFonts w:ascii="Times New Roman" w:hAnsi="Times New Roman" w:cs="Times New Roman"/>
          <w:sz w:val="24"/>
          <w:szCs w:val="24"/>
          <w:shd w:val="clear" w:color="auto" w:fill="FFFFFF"/>
        </w:rPr>
        <w:t>Eütv</w:t>
      </w:r>
      <w:proofErr w:type="spellEnd"/>
      <w:r w:rsidRPr="00492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10. §. (3) Az ellátás során a beteg jogainak gyakorlásában csak az egészségi állapota által indokolt ideig - </w:t>
      </w:r>
      <w:r w:rsidRPr="004926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törvényben meghatározott - mértékben és módon</w:t>
      </w:r>
      <w:r w:rsidRPr="00492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korlátozható.</w:t>
      </w:r>
    </w:p>
    <w:p w:rsidR="00BA723C" w:rsidRPr="00F14472" w:rsidRDefault="00BA723C" w:rsidP="00BA723C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144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Eütv</w:t>
      </w:r>
      <w:proofErr w:type="spellEnd"/>
      <w:r w:rsidRPr="00F144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15. § </w:t>
      </w:r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A beteget megilleti az önrendelkezéshez való jog, amely </w:t>
      </w:r>
      <w:r w:rsidRPr="00F144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kizárólag törvényben meghatározott esetekben és </w:t>
      </w:r>
      <w:r w:rsidRPr="00F144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módon</w:t>
      </w:r>
      <w:r w:rsidRPr="00F144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korlátozható.</w:t>
      </w:r>
    </w:p>
    <w:p w:rsidR="00BA723C" w:rsidRPr="00F14472" w:rsidRDefault="00BA723C" w:rsidP="00BA723C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>(2) Az önrendelkezési jog gyakorlása keretében a beteg szabadon döntheti el, hogy kíván-e egészségügyi ellátást igénybe venni, illetve annak során mely beavatkozások elvégzésébe egyezik bele, illetve melyeket utasít vissza, figyelembe véve a 20. §</w:t>
      </w:r>
      <w:proofErr w:type="spellStart"/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>-ban</w:t>
      </w:r>
      <w:proofErr w:type="spellEnd"/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előírt korlátozásokat.</w:t>
      </w:r>
    </w:p>
    <w:p w:rsidR="00BA723C" w:rsidRDefault="00BA723C" w:rsidP="00BA723C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A betegnek joga van arra, hogy a </w:t>
      </w:r>
      <w:r w:rsidRPr="00F144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kivizsgálását és kezelését érintő döntésekben részt vegyen</w:t>
      </w:r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Az e törvényben foglalt kivételektől eltekintve </w:t>
      </w:r>
      <w:r w:rsidRPr="00F144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bármely egészségügyi beavatkozás elvégzésének feltétele, hogy ahhoz a beteg </w:t>
      </w:r>
      <w:r w:rsidRPr="00F144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megtévesztéstől, fenyegetéstől és kényszertől</w:t>
      </w:r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mentes, megfelelő tájékoztatáson alapuló beleegyezését (a továbbiakban: beleegyezését) adja.</w:t>
      </w:r>
    </w:p>
    <w:p w:rsidR="00BA723C" w:rsidRPr="00455B6C" w:rsidRDefault="00BA723C" w:rsidP="00BA723C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B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(5) Az </w:t>
      </w:r>
      <w:proofErr w:type="spellStart"/>
      <w:r w:rsidRPr="00455B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invazív</w:t>
      </w:r>
      <w:proofErr w:type="spellEnd"/>
      <w:r w:rsidRPr="00455B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beavatkozásokhoz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</w:t>
      </w:r>
      <w:proofErr w:type="gramEnd"/>
      <w:r w:rsidRPr="00455B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r w:rsidRPr="00455B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beteg írásbeli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 </w:t>
      </w:r>
      <w:r w:rsidRPr="00455B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nyilatkozata szükséges.</w:t>
      </w:r>
    </w:p>
    <w:p w:rsidR="00BA723C" w:rsidRPr="00F14472" w:rsidRDefault="00BA723C" w:rsidP="00BA723C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>Eütv</w:t>
      </w:r>
      <w:proofErr w:type="spellEnd"/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16.§. (2) bekezdés szerint cselekvőképtelen beteg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esetén </w:t>
      </w:r>
      <w:r w:rsidRPr="00F144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proofErr w:type="gramStart"/>
      <w:r w:rsidRPr="00F144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beteg törvényes képviselője jogosult a fenti nyilatkozat megtételére!</w:t>
      </w:r>
    </w:p>
    <w:p w:rsidR="00BA723C" w:rsidRDefault="00BA723C" w:rsidP="00BA723C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>Eütv</w:t>
      </w:r>
      <w:proofErr w:type="spellEnd"/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16. §. (7) bekezdés alapján a fenti rendelkezést a </w:t>
      </w:r>
      <w:r w:rsidRPr="00F144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korlátozottan cselekvőképes kiskorú beteg</w:t>
      </w:r>
      <w:r w:rsidRPr="00F14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törvényes képviselője nyilatkozatára is alkalmazni kell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39D4" w:rsidRPr="00E727DD" w:rsidRDefault="005F39D4" w:rsidP="005F3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büntetőtörvénykönyvről szóló 2012. évi. C. törvény (továbbiakban: Btk.) </w:t>
      </w:r>
      <w:r w:rsidRPr="00E727DD">
        <w:rPr>
          <w:rFonts w:ascii="Times New Roman" w:hAnsi="Times New Roman" w:cs="Times New Roman"/>
          <w:b/>
          <w:bCs/>
          <w:sz w:val="24"/>
          <w:szCs w:val="24"/>
        </w:rPr>
        <w:t xml:space="preserve">165. § </w:t>
      </w:r>
      <w:r w:rsidRPr="00E727D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bekezdés alapján, a</w:t>
      </w:r>
      <w:r w:rsidRPr="00665FA7">
        <w:rPr>
          <w:rFonts w:ascii="Times New Roman" w:hAnsi="Times New Roman" w:cs="Times New Roman"/>
          <w:b/>
          <w:sz w:val="24"/>
          <w:szCs w:val="24"/>
        </w:rPr>
        <w:t>ki foglalkozási szabály megszegésével más vagy mások</w:t>
      </w:r>
      <w:r w:rsidRPr="00E727DD">
        <w:rPr>
          <w:rFonts w:ascii="Times New Roman" w:hAnsi="Times New Roman" w:cs="Times New Roman"/>
          <w:sz w:val="24"/>
          <w:szCs w:val="24"/>
        </w:rPr>
        <w:t xml:space="preserve"> életét, testi épségét vagy egészségét gondatlanságból közvetlen veszélynek teszi ki, vagy </w:t>
      </w:r>
      <w:r w:rsidRPr="00665FA7">
        <w:rPr>
          <w:rFonts w:ascii="Times New Roman" w:hAnsi="Times New Roman" w:cs="Times New Roman"/>
          <w:b/>
          <w:sz w:val="24"/>
          <w:szCs w:val="24"/>
        </w:rPr>
        <w:t>testi sértést okoz</w:t>
      </w:r>
      <w:r w:rsidRPr="00E727DD">
        <w:rPr>
          <w:rFonts w:ascii="Times New Roman" w:hAnsi="Times New Roman" w:cs="Times New Roman"/>
          <w:sz w:val="24"/>
          <w:szCs w:val="24"/>
        </w:rPr>
        <w:t>, vétség miatt egy évig terjedő szabadságvesztéssel büntetendő.</w:t>
      </w:r>
    </w:p>
    <w:p w:rsidR="00BA723C" w:rsidRDefault="00BA723C" w:rsidP="00BA7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Btk. 164. §. (1) bekezdés szerint testi sértés követ el, aki mást testi épségét sérti. </w:t>
      </w:r>
    </w:p>
    <w:p w:rsidR="00BA723C" w:rsidRPr="00A83535" w:rsidRDefault="00BA723C" w:rsidP="00BA7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spellStart"/>
      <w:r w:rsidRPr="00A8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Eütv</w:t>
      </w:r>
      <w:proofErr w:type="spellEnd"/>
      <w:r w:rsidRPr="00A8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3. §. </w:t>
      </w:r>
      <w:r w:rsidRPr="00A8353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m) </w:t>
      </w:r>
      <w:proofErr w:type="spellStart"/>
      <w:r w:rsidRPr="00A8353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invazív</w:t>
      </w:r>
      <w:proofErr w:type="spellEnd"/>
      <w:r w:rsidRPr="00A8353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beavatkozás: </w:t>
      </w:r>
      <w:r w:rsidRPr="00A8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beteg testébe bőrön, nyálkahártyán vagy testnyíláson keresztül behatoló fizikai beavatkozás, ide nem értve a beteg számára szakmai szempontból elhanyagolható kockázatot jelentő beavatkozásokat;</w:t>
      </w:r>
    </w:p>
    <w:p w:rsidR="00BA723C" w:rsidRDefault="00BA723C" w:rsidP="007B12F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color w:val="474747"/>
          <w:sz w:val="24"/>
          <w:szCs w:val="24"/>
        </w:rPr>
      </w:pPr>
    </w:p>
    <w:p w:rsidR="007B12F0" w:rsidRPr="00156B38" w:rsidRDefault="007B12F0" w:rsidP="007B12F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>A fenti jogszabályi hely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alapján,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törvényes képviselőt a védőoltás előtt az oltás módjáról, céljáról, helyéről is idejéről értesíteni kell, amely értesítés alapján a törvényes képviselő dönti el, hogy az adott időpontra a gyermekét elvisz-e az oltásra, vagy nem.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Amennyiben nem viszi el, akkor egyértelmű, hogy az o</w:t>
      </w:r>
      <w:r w:rsidR="0015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ltás beadásához nem járul hozzá. </w:t>
      </w:r>
      <w:proofErr w:type="gramEnd"/>
      <w:r w:rsidR="00156B3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5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szülő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elviszi</w:t>
      </w:r>
      <w:r w:rsidR="0015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gyermekét az adott időpontban az adott helyre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vagy jelen esetben a születésből adódóan jelen van ugyan a gyermek -, akkor is a törvényes képviselő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írásbeli hozzájá</w:t>
      </w:r>
      <w:r w:rsidR="0015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rulása kell az oltás beadásához. </w:t>
      </w:r>
      <w:r w:rsidR="00156B38" w:rsidRPr="00156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Amennyiben a törvényes képviselő távolmaradásával, vagy hozzájárulás megtagadásával nem járul hozzá </w:t>
      </w:r>
      <w:r w:rsidRPr="00156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oltás beadásához</w:t>
      </w:r>
      <w:r w:rsidR="00156B38" w:rsidRPr="00156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156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akkor az orvos önkényesen nem adhatja be az oltást, akkor hatósági eljárás keretében van helye az oltás elrendelésének, majd annak hatósági végrehajtásának van helye.</w:t>
      </w:r>
    </w:p>
    <w:p w:rsidR="007B12F0" w:rsidRPr="009F3248" w:rsidRDefault="007B12F0" w:rsidP="007B12F0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>Megjegyezném</w:t>
      </w:r>
      <w:r w:rsidR="00156B38">
        <w:rPr>
          <w:rFonts w:ascii="Times New Roman" w:hAnsi="Times New Roman" w:cs="Times New Roman"/>
          <w:color w:val="000000" w:themeColor="text1"/>
          <w:sz w:val="24"/>
          <w:szCs w:val="24"/>
        </w:rPr>
        <w:t>, hogy a közigazgatási hatóság oltást</w:t>
      </w: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elrendelő határozata ellen a szülőknek jogorvoslati jogosultsága</w:t>
      </w:r>
      <w:r w:rsidR="00156B38">
        <w:rPr>
          <w:rFonts w:ascii="Times New Roman" w:hAnsi="Times New Roman" w:cs="Times New Roman"/>
          <w:color w:val="000000" w:themeColor="text1"/>
          <w:sz w:val="24"/>
          <w:szCs w:val="24"/>
        </w:rPr>
        <w:t>, közigazgatási per</w:t>
      </w: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kezdeményez</w:t>
      </w:r>
      <w:r w:rsidR="00156B38">
        <w:rPr>
          <w:rFonts w:ascii="Times New Roman" w:hAnsi="Times New Roman" w:cs="Times New Roman"/>
          <w:color w:val="000000" w:themeColor="text1"/>
          <w:sz w:val="24"/>
          <w:szCs w:val="24"/>
        </w:rPr>
        <w:t>ési joga, valamint Kúria felülvizsgálati kérelem</w:t>
      </w: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valamint </w:t>
      </w: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>Alkotmányjogi panasz</w:t>
      </w:r>
      <w:r w:rsidR="0015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benyújtására is lehetősége van, </w:t>
      </w: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amelyek sikertelensége esetén </w:t>
      </w:r>
      <w:r w:rsidR="008F4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</w:t>
      </w: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helye </w:t>
      </w:r>
      <w:r w:rsidR="008F4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csak </w:t>
      </w: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oltás végrehajtásának, de amennyiben a </w:t>
      </w:r>
      <w:r w:rsidR="008F4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törvényes képviselők </w:t>
      </w: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>ekkor se</w:t>
      </w:r>
      <w:r w:rsidR="008F4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járulnak hozzá </w:t>
      </w: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>az oltás bead</w:t>
      </w:r>
      <w:r w:rsidR="008F4119">
        <w:rPr>
          <w:rFonts w:ascii="Times New Roman" w:hAnsi="Times New Roman" w:cs="Times New Roman"/>
          <w:color w:val="000000" w:themeColor="text1"/>
          <w:sz w:val="24"/>
          <w:szCs w:val="24"/>
        </w:rPr>
        <w:t>ásához, orvos</w:t>
      </w: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akkor se jogosult </w:t>
      </w:r>
      <w:r w:rsidR="008F41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önkényesen </w:t>
      </w:r>
      <w:r w:rsidRPr="009F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kényszeroltás elvégzésre, ugyanis a végrehajtó hatóság a Nemzeti Adó és Vámhivatal! </w:t>
      </w:r>
    </w:p>
    <w:p w:rsidR="008F4119" w:rsidRDefault="007B12F0" w:rsidP="007B12F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kötelező oltások rendszere sérti az önrendelkezési jogot, amelyet az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Eütv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szerint csak a törvényben meghatározott módon lehet korlátozni, az egészségügyi törvény rendelkezései szerint pedig amennyiben a </w:t>
      </w:r>
      <w:r w:rsidR="008F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törvényes képviselő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nem járul hozzá az oltás beadásához, akkor azt hatóságilag el kell rendelni, amely ellen a </w:t>
      </w:r>
      <w:r w:rsidR="008F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törvényes képviselőnek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jogorvoslati lehetőségeket biztosít a törvény. </w:t>
      </w:r>
    </w:p>
    <w:p w:rsidR="005F39D4" w:rsidRDefault="005F39D4" w:rsidP="007B12F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B12F0" w:rsidRDefault="009F59B1" w:rsidP="00BA723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Habár a BCG oltás életkorhoz kötött kötötten kötelező oltás, de </w:t>
      </w:r>
      <w:r w:rsidRPr="009F3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ezen oltás is csak a törvényes képviselő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írásos </w:t>
      </w:r>
      <w:r w:rsidRPr="009F3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hozzájárulásával, vagy annak hiányában hatósági 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ározat alapján hajthatók végre, j</w:t>
      </w:r>
      <w:r w:rsidR="007B1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elen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esetben azonban a </w:t>
      </w:r>
      <w:r w:rsidR="005F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gyermek még meg sem született, </w:t>
      </w:r>
      <w:r w:rsidR="007B1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hatóság nem rendelte el a</w:t>
      </w:r>
      <w:r w:rsidR="005F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BCG oltás beadását, még az erre vonatkozó eljárás megindításának sincs helye a gyermek 4 hetes koráig, </w:t>
      </w:r>
      <w:r w:rsidR="008F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törvényes képviselők a BCG oltás beadásához nem járul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nak</w:t>
      </w:r>
      <w:r w:rsidR="008F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hozzá, sőt az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 írásban kifejezetten megtiltják</w:t>
      </w:r>
      <w:r w:rsidR="008F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így az aza</w:t>
      </w:r>
      <w:r w:rsidR="00BA7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</w:t>
      </w:r>
      <w:r w:rsidR="008F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rvos, aki a születendő gyermek</w:t>
      </w:r>
      <w:r w:rsidR="008F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et BCG oltásban részesíti foglalkozási szabálysértést követ el,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továbbá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tekintettel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arra, hogy az oltások </w:t>
      </w:r>
      <w:proofErr w:type="spellStart"/>
      <w:r w:rsidRPr="00A8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invazív</w:t>
      </w:r>
      <w:proofErr w:type="spellEnd"/>
      <w:r w:rsidRPr="00A8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egészségügyi beavatkozások, amelyeket a test megsértésével hajtanak végre, így azok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beadása mindenféle egyéb következmény hiányában is testi sértésnek minősülnek, </w:t>
      </w:r>
      <w:r w:rsidR="008F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azaz megvalósítja </w:t>
      </w:r>
      <w:r w:rsidR="00BA7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Btk. szerinti foglalkozás köré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ben elkövetett veszélyeztetést. </w:t>
      </w:r>
    </w:p>
    <w:p w:rsidR="009F59B1" w:rsidRDefault="009F59B1" w:rsidP="00BA723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F59B1" w:rsidRDefault="009F59B1" w:rsidP="00BA723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Gyermekünk kifejezett tiltás ellenére </w:t>
      </w:r>
      <w:r w:rsidR="00D10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történő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BCG oltása esetén</w:t>
      </w:r>
      <w:r w:rsidR="00D10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büntetőfeljelentést fogunk kezdeményezni! </w:t>
      </w:r>
    </w:p>
    <w:p w:rsidR="00D10C3E" w:rsidRPr="00D10C3E" w:rsidRDefault="00D10C3E" w:rsidP="00BA723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F59B1" w:rsidRPr="00D10C3E" w:rsidRDefault="00D10C3E" w:rsidP="00BA723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születendő gyermekünk egészségének a vé</w:t>
      </w:r>
      <w:r w:rsidRPr="00D1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delme érdeké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ben, együttműködé</w:t>
      </w:r>
      <w:r w:rsidRPr="00D1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süket köszönjük!</w:t>
      </w:r>
    </w:p>
    <w:p w:rsidR="00D10C3E" w:rsidRDefault="00D10C3E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1010" w:rsidRDefault="009F59B1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9F59B1" w:rsidRDefault="009F59B1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9B1" w:rsidRDefault="00D10C3E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Tisztelettel: </w:t>
      </w:r>
    </w:p>
    <w:p w:rsidR="00D10C3E" w:rsidRDefault="00D10C3E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9B1" w:rsidRDefault="009F59B1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anya</w:t>
      </w:r>
      <w:proofErr w:type="gramEnd"/>
    </w:p>
    <w:p w:rsidR="009F59B1" w:rsidRDefault="009F59B1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9B1" w:rsidRDefault="009F59B1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apa</w:t>
      </w:r>
      <w:proofErr w:type="gramEnd"/>
    </w:p>
    <w:p w:rsidR="00441010" w:rsidRDefault="00441010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1010" w:rsidRDefault="00441010" w:rsidP="004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41010" w:rsidSect="00D0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C62"/>
    <w:multiLevelType w:val="hybridMultilevel"/>
    <w:tmpl w:val="6818FE7E"/>
    <w:lvl w:ilvl="0" w:tplc="931C1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82C73"/>
    <w:multiLevelType w:val="hybridMultilevel"/>
    <w:tmpl w:val="ABE02CF2"/>
    <w:lvl w:ilvl="0" w:tplc="6FF47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1010"/>
    <w:rsid w:val="00156B38"/>
    <w:rsid w:val="001622F0"/>
    <w:rsid w:val="00441010"/>
    <w:rsid w:val="005F39D4"/>
    <w:rsid w:val="007B12F0"/>
    <w:rsid w:val="008F4119"/>
    <w:rsid w:val="009F59B1"/>
    <w:rsid w:val="00BA1690"/>
    <w:rsid w:val="00BA723C"/>
    <w:rsid w:val="00D069F3"/>
    <w:rsid w:val="00D1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9F3"/>
  </w:style>
  <w:style w:type="paragraph" w:styleId="Cmsor4">
    <w:name w:val="heading 4"/>
    <w:basedOn w:val="Norml"/>
    <w:link w:val="Cmsor4Char"/>
    <w:uiPriority w:val="9"/>
    <w:qFormat/>
    <w:rsid w:val="007B12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7B12F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B12F0"/>
    <w:pPr>
      <w:ind w:left="720"/>
      <w:contextualSpacing/>
    </w:pPr>
  </w:style>
  <w:style w:type="character" w:customStyle="1" w:styleId="fontstyle01">
    <w:name w:val="fontstyle01"/>
    <w:basedOn w:val="Bekezdsalapbettpusa"/>
    <w:rsid w:val="007B12F0"/>
    <w:rPr>
      <w:rFonts w:ascii="LiberationSerif-Italic" w:hAnsi="LiberationSerif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1102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2023-01-04T13:18:00Z</dcterms:created>
  <dcterms:modified xsi:type="dcterms:W3CDTF">2023-01-04T15:04:00Z</dcterms:modified>
</cp:coreProperties>
</file>